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 general meeting: agenda and notice checklist</w:t>
      </w:r>
    </w:p>
    <w:p>
      <w:pPr>
        <w:pStyle w:val="Subtitle"/>
      </w:pPr>
      <w:r>
        <w:t xml:space="preserve">For a sectional title scheme under the prescribed management rules</w:t>
      </w:r>
    </w:p>
    <w:p>
      <w:pPr>
        <w:pStyle w:val="FirstParagraph"/>
      </w:pPr>
      <w:r>
        <w:rPr>
          <w:b/>
          <w:bCs/>
        </w:rPr>
        <w:t xml:space="preserve">Scheme:</w:t>
      </w:r>
      <w:r>
        <w:t xml:space="preserve"> </w:t>
      </w:r>
      <w:r>
        <w:t xml:space="preserve">______________________________</w:t>
      </w:r>
      <w:r>
        <w:t xml:space="preserve"> </w:t>
      </w:r>
      <w:r>
        <w:rPr>
          <w:b/>
          <w:bCs/>
        </w:rPr>
        <w:t xml:space="preserve">SS number / year:</w:t>
      </w:r>
      <w:r>
        <w:t xml:space="preserve"> </w:t>
      </w:r>
      <w:r>
        <w:t xml:space="preserve">____________</w:t>
      </w:r>
    </w:p>
    <w:p>
      <w:pPr>
        <w:pStyle w:val="BodyText"/>
      </w:pPr>
      <w:r>
        <w:rPr>
          <w:b/>
          <w:bCs/>
        </w:rPr>
        <w:t xml:space="preserve">Meeting:</w:t>
      </w:r>
      <w:r>
        <w:t xml:space="preserve"> </w:t>
      </w:r>
      <w:r>
        <w:t xml:space="preserve">annual general meeting on ______________ at ________, at ______________________________</w:t>
      </w:r>
    </w:p>
    <w:p>
      <w:pPr>
        <w:pStyle w:val="BodyText"/>
      </w:pPr>
      <w:r>
        <w:t xml:space="preserve">This template follows the prescribed management rules (PMR) in Annexure 1 of the Sectional Titles Schemes Management</w:t>
      </w:r>
      <w:r>
        <w:t xml:space="preserve"> </w:t>
      </w:r>
      <w:r>
        <w:t xml:space="preserve">Regulations, 2016, made under the Sectional Titles Schemes Management Act 8 of 2011 (STSMA). A scheme whose rules were</w:t>
      </w:r>
      <w:r>
        <w:t xml:space="preserve"> </w:t>
      </w:r>
      <w:r>
        <w:t xml:space="preserve">amended may differ, so check its own rules too. It is general information, not legal advice. From Estate Manager,</w:t>
      </w:r>
      <w:r>
        <w:t xml:space="preserve"> </w:t>
      </w:r>
      <w:r>
        <w:t xml:space="preserve">estate-manager.app.</w:t>
      </w:r>
    </w:p>
    <w:bookmarkStart w:id="9" w:name="before-the-notice"/>
    <w:p>
      <w:pPr>
        <w:pStyle w:val="Heading1"/>
      </w:pPr>
      <w:r>
        <w:t xml:space="preserve">1. Before the notice</w:t>
      </w:r>
    </w:p>
    <w:tbl>
      <w:tblPr>
        <w:tblStyle w:val="Table"/>
        <w:tblW w:type="pct" w:w="5000"/>
        <w:tblLayout w:type="fixed"/>
        <w:tblLook w:firstRow="1" w:lastRow="0" w:firstColumn="0" w:lastColumn="0" w:noHBand="0" w:noVBand="0" w:val="0020"/>
      </w:tblPr>
      <w:tblGrid>
        <w:gridCol w:w="5670"/>
        <w:gridCol w:w="1710"/>
        <w:gridCol w:w="540"/>
      </w:tblGrid>
      <w:tr>
        <w:trPr>
          <w:tblHeader w:val="on"/>
        </w:trPr>
        <w:tc>
          <w:tcPr/>
          <w:p>
            <w:pPr>
              <w:pStyle w:val="Compact"/>
              <w:jc w:val="left"/>
            </w:pPr>
            <w:r>
              <w:t xml:space="preserve">Check</w:t>
            </w:r>
          </w:p>
        </w:tc>
        <w:tc>
          <w:tcPr/>
          <w:p>
            <w:pPr>
              <w:pStyle w:val="Compact"/>
              <w:jc w:val="left"/>
            </w:pPr>
            <w:r>
              <w:t xml:space="preserve">Rule</w:t>
            </w:r>
          </w:p>
        </w:tc>
        <w:tc>
          <w:tcPr/>
          <w:p>
            <w:pPr>
              <w:pStyle w:val="Compact"/>
              <w:jc w:val="center"/>
            </w:pPr>
            <w:r>
              <w:t xml:space="preserve">Done</w:t>
            </w:r>
          </w:p>
        </w:tc>
      </w:tr>
      <w:tr>
        <w:tc>
          <w:tcPr/>
          <w:p>
            <w:pPr>
              <w:pStyle w:val="Compact"/>
              <w:jc w:val="left"/>
            </w:pPr>
            <w:r>
              <w:t xml:space="preserve">The meeting is held within four months of the end of the financial year</w:t>
            </w:r>
          </w:p>
        </w:tc>
        <w:tc>
          <w:tcPr/>
          <w:p>
            <w:pPr>
              <w:pStyle w:val="Compact"/>
              <w:jc w:val="left"/>
            </w:pPr>
            <w:r>
              <w:t xml:space="preserve">PMR 17(1)</w:t>
            </w:r>
          </w:p>
        </w:tc>
        <w:tc>
          <w:tcPr/>
          <w:p>
            <w:pPr>
              <w:pStyle w:val="Compact"/>
              <w:jc w:val="center"/>
            </w:pPr>
            <w:r>
              <w:t xml:space="preserve">☐</w:t>
            </w:r>
          </w:p>
        </w:tc>
      </w:tr>
      <w:tr>
        <w:tc>
          <w:tcPr/>
          <w:p>
            <w:pPr>
              <w:pStyle w:val="Compact"/>
              <w:jc w:val="left"/>
            </w:pPr>
            <w:r>
              <w:t xml:space="preserve">The venue is in the local municipal area where the scheme is situated, unless the members decided otherwise by special resolution</w:t>
            </w:r>
          </w:p>
        </w:tc>
        <w:tc>
          <w:tcPr/>
          <w:p>
            <w:pPr>
              <w:pStyle w:val="Compact"/>
              <w:jc w:val="left"/>
            </w:pPr>
            <w:r>
              <w:t xml:space="preserve">PMR 15(4)</w:t>
            </w:r>
          </w:p>
        </w:tc>
        <w:tc>
          <w:tcPr/>
          <w:p>
            <w:pPr>
              <w:pStyle w:val="Compact"/>
              <w:jc w:val="center"/>
            </w:pPr>
            <w:r>
              <w:t xml:space="preserve">☐</w:t>
            </w:r>
          </w:p>
        </w:tc>
      </w:tr>
      <w:tr>
        <w:tc>
          <w:tcPr/>
          <w:p>
            <w:pPr>
              <w:pStyle w:val="Compact"/>
              <w:jc w:val="left"/>
            </w:pPr>
            <w:r>
              <w:t xml:space="preserve">The trustees set the agenda, with every motion or matter that members or a bondholder included in a request for the meeting, without amendment</w:t>
            </w:r>
          </w:p>
        </w:tc>
        <w:tc>
          <w:tcPr/>
          <w:p>
            <w:pPr>
              <w:pStyle w:val="Compact"/>
              <w:jc w:val="left"/>
            </w:pPr>
            <w:r>
              <w:t xml:space="preserve">PMR 17(5) and 17(7)</w:t>
            </w:r>
          </w:p>
        </w:tc>
        <w:tc>
          <w:tcPr/>
          <w:p>
            <w:pPr>
              <w:pStyle w:val="Compact"/>
              <w:jc w:val="center"/>
            </w:pPr>
            <w:r>
              <w:t xml:space="preserve">☐</w:t>
            </w:r>
          </w:p>
        </w:tc>
      </w:tr>
    </w:tbl>
    <w:bookmarkEnd w:id="9"/>
    <w:bookmarkStart w:id="10" w:name="the-notice-period"/>
    <w:p>
      <w:pPr>
        <w:pStyle w:val="Heading1"/>
      </w:pPr>
      <w:r>
        <w:t xml:space="preserve">2. The notice period</w:t>
      </w:r>
    </w:p>
    <w:tbl>
      <w:tblPr>
        <w:tblStyle w:val="Table"/>
        <w:tblW w:type="pct" w:w="5000"/>
        <w:tblLayout w:type="fixed"/>
        <w:tblLook w:firstRow="1" w:lastRow="0" w:firstColumn="0" w:lastColumn="0" w:noHBand="0" w:noVBand="0" w:val="0020"/>
      </w:tblPr>
      <w:tblGrid>
        <w:gridCol w:w="3347"/>
        <w:gridCol w:w="3347"/>
        <w:gridCol w:w="1224"/>
      </w:tblGrid>
      <w:tr>
        <w:trPr>
          <w:tblHeader w:val="on"/>
        </w:trPr>
        <w:tc>
          <w:tcPr/>
          <w:p>
            <w:pPr>
              <w:pStyle w:val="Compact"/>
              <w:jc w:val="left"/>
            </w:pPr>
            <w:r>
              <w:t xml:space="preserve">The meeting</w:t>
            </w:r>
          </w:p>
        </w:tc>
        <w:tc>
          <w:tcPr/>
          <w:p>
            <w:pPr>
              <w:pStyle w:val="Compact"/>
              <w:jc w:val="left"/>
            </w:pPr>
            <w:r>
              <w:t xml:space="preserve">Notice needed</w:t>
            </w:r>
          </w:p>
        </w:tc>
        <w:tc>
          <w:tcPr/>
          <w:p>
            <w:pPr>
              <w:pStyle w:val="Compact"/>
              <w:jc w:val="left"/>
            </w:pPr>
            <w:r>
              <w:t xml:space="preserve">Rule</w:t>
            </w:r>
          </w:p>
        </w:tc>
      </w:tr>
      <w:tr>
        <w:tc>
          <w:tcPr/>
          <w:p>
            <w:pPr>
              <w:pStyle w:val="Compact"/>
              <w:jc w:val="left"/>
            </w:pPr>
            <w:r>
              <w:t xml:space="preserve">The usual business</w:t>
            </w:r>
          </w:p>
        </w:tc>
        <w:tc>
          <w:tcPr/>
          <w:p>
            <w:pPr>
              <w:pStyle w:val="Compact"/>
              <w:jc w:val="left"/>
            </w:pPr>
            <w:r>
              <w:t xml:space="preserve">At least 14 days’ written notice</w:t>
            </w:r>
          </w:p>
        </w:tc>
        <w:tc>
          <w:tcPr/>
          <w:p>
            <w:pPr>
              <w:pStyle w:val="Compact"/>
              <w:jc w:val="left"/>
            </w:pPr>
            <w:r>
              <w:t xml:space="preserve">PMR 15(1)</w:t>
            </w:r>
          </w:p>
        </w:tc>
      </w:tr>
      <w:tr>
        <w:tc>
          <w:tcPr/>
          <w:p>
            <w:pPr>
              <w:pStyle w:val="Compact"/>
              <w:jc w:val="left"/>
            </w:pPr>
            <w:r>
              <w:t xml:space="preserve">A special or unanimous resolution is proposed</w:t>
            </w:r>
          </w:p>
        </w:tc>
        <w:tc>
          <w:tcPr/>
          <w:p>
            <w:pPr>
              <w:pStyle w:val="Compact"/>
              <w:jc w:val="left"/>
            </w:pPr>
            <w:r>
              <w:t xml:space="preserve">At least 30 days’ written notice to every member, specifying the resolution, unless the rules provide for shorter notice</w:t>
            </w:r>
          </w:p>
        </w:tc>
        <w:tc>
          <w:tcPr/>
          <w:p>
            <w:pPr>
              <w:pStyle w:val="Compact"/>
              <w:jc w:val="left"/>
            </w:pPr>
            <w:r>
              <w:t xml:space="preserve">STSMA s6(2)</w:t>
            </w:r>
          </w:p>
        </w:tc>
      </w:tr>
      <w:tr>
        <w:tc>
          <w:tcPr/>
          <w:p>
            <w:pPr>
              <w:pStyle w:val="Compact"/>
              <w:jc w:val="left"/>
            </w:pPr>
            <w:r>
              <w:t xml:space="preserve">The trustees resolved that urgency makes short notice necessary, and gave their reasons</w:t>
            </w:r>
          </w:p>
        </w:tc>
        <w:tc>
          <w:tcPr/>
          <w:p>
            <w:pPr>
              <w:pStyle w:val="Compact"/>
              <w:jc w:val="left"/>
            </w:pPr>
            <w:r>
              <w:t xml:space="preserve">At least 7 days, but never for a meeting under rule 29(2) or (4)</w:t>
            </w:r>
          </w:p>
        </w:tc>
        <w:tc>
          <w:tcPr/>
          <w:p>
            <w:pPr>
              <w:pStyle w:val="Compact"/>
              <w:jc w:val="left"/>
            </w:pPr>
            <w:r>
              <w:t xml:space="preserve">PMR 15(7)(a)</w:t>
            </w:r>
          </w:p>
        </w:tc>
      </w:tr>
      <w:tr>
        <w:tc>
          <w:tcPr/>
          <w:p>
            <w:pPr>
              <w:pStyle w:val="Compact"/>
              <w:jc w:val="left"/>
            </w:pPr>
            <w:r>
              <w:t xml:space="preserve">Everyone entitled to attend agreed in writing</w:t>
            </w:r>
          </w:p>
        </w:tc>
        <w:tc>
          <w:tcPr/>
          <w:p>
            <w:pPr>
              <w:pStyle w:val="Compact"/>
              <w:jc w:val="left"/>
            </w:pPr>
            <w:r>
              <w:t xml:space="preserve">Less than 14 days</w:t>
            </w:r>
          </w:p>
        </w:tc>
        <w:tc>
          <w:tcPr/>
          <w:p>
            <w:pPr>
              <w:pStyle w:val="Compact"/>
              <w:jc w:val="left"/>
            </w:pPr>
            <w:r>
              <w:t xml:space="preserve">PMR 15(7)(b)</w:t>
            </w:r>
          </w:p>
        </w:tc>
      </w:tr>
    </w:tbl>
    <w:p>
      <w:pPr>
        <w:pStyle w:val="BodyText"/>
      </w:pPr>
      <w:r>
        <w:t xml:space="preserve">Estate Manager’s free notice date calculator, at estate-manager.app, gives the last day to send the notice.</w:t>
      </w:r>
    </w:p>
    <w:bookmarkEnd w:id="10"/>
    <w:bookmarkStart w:id="11" w:name="who-receives-the-notice"/>
    <w:p>
      <w:pPr>
        <w:pStyle w:val="Heading1"/>
      </w:pPr>
      <w:r>
        <w:t xml:space="preserve">3. Who receives the notice</w:t>
      </w:r>
    </w:p>
    <w:tbl>
      <w:tblPr>
        <w:tblStyle w:val="Table"/>
        <w:tblW w:type="pct" w:w="5000"/>
        <w:tblLayout w:type="fixed"/>
        <w:tblLook w:firstRow="1" w:lastRow="0" w:firstColumn="0" w:lastColumn="0" w:noHBand="0" w:noVBand="0" w:val="0020"/>
      </w:tblPr>
      <w:tblGrid>
        <w:gridCol w:w="2557"/>
        <w:gridCol w:w="3382"/>
        <w:gridCol w:w="1485"/>
        <w:gridCol w:w="495"/>
      </w:tblGrid>
      <w:tr>
        <w:trPr>
          <w:tblHeader w:val="on"/>
        </w:trPr>
        <w:tc>
          <w:tcPr/>
          <w:p>
            <w:pPr>
              <w:pStyle w:val="Compact"/>
              <w:jc w:val="left"/>
            </w:pPr>
            <w:r>
              <w:t xml:space="preserve">Recipient</w:t>
            </w:r>
          </w:p>
        </w:tc>
        <w:tc>
          <w:tcPr/>
          <w:p>
            <w:pPr>
              <w:pStyle w:val="Compact"/>
              <w:jc w:val="left"/>
            </w:pPr>
            <w:r>
              <w:t xml:space="preserve">Where it goes</w:t>
            </w:r>
          </w:p>
        </w:tc>
        <w:tc>
          <w:tcPr/>
          <w:p>
            <w:pPr>
              <w:pStyle w:val="Compact"/>
              <w:jc w:val="left"/>
            </w:pPr>
            <w:r>
              <w:t xml:space="preserve">Rule</w:t>
            </w:r>
          </w:p>
        </w:tc>
        <w:tc>
          <w:tcPr/>
          <w:p>
            <w:pPr>
              <w:pStyle w:val="Compact"/>
              <w:jc w:val="center"/>
            </w:pPr>
            <w:r>
              <w:t xml:space="preserve">Sent</w:t>
            </w:r>
          </w:p>
        </w:tc>
      </w:tr>
      <w:tr>
        <w:tc>
          <w:tcPr/>
          <w:p>
            <w:pPr>
              <w:pStyle w:val="Compact"/>
              <w:jc w:val="left"/>
            </w:pPr>
            <w:r>
              <w:t xml:space="preserve">Every member</w:t>
            </w:r>
          </w:p>
        </w:tc>
        <w:tc>
          <w:tcPr/>
          <w:p>
            <w:pPr>
              <w:pStyle w:val="Compact"/>
              <w:jc w:val="left"/>
            </w:pPr>
            <w:r>
              <w:t xml:space="preserve">Their service address: their section, or an address they chose in writing</w:t>
            </w:r>
          </w:p>
        </w:tc>
        <w:tc>
          <w:tcPr/>
          <w:p>
            <w:pPr>
              <w:pStyle w:val="Compact"/>
              <w:jc w:val="left"/>
            </w:pPr>
            <w:r>
              <w:t xml:space="preserve">PMR 15(1)(a), 15(6)(a) and 4(5)</w:t>
            </w:r>
          </w:p>
        </w:tc>
        <w:tc>
          <w:tcPr/>
          <w:p>
            <w:pPr>
              <w:pStyle w:val="Compact"/>
              <w:jc w:val="center"/>
            </w:pPr>
            <w:r>
              <w:t xml:space="preserve">☐</w:t>
            </w:r>
          </w:p>
        </w:tc>
      </w:tr>
      <w:tr>
        <w:tc>
          <w:tcPr/>
          <w:p>
            <w:pPr>
              <w:pStyle w:val="Compact"/>
              <w:jc w:val="left"/>
            </w:pPr>
            <w:r>
              <w:t xml:space="preserve">Every registered bondholder</w:t>
            </w:r>
          </w:p>
        </w:tc>
        <w:tc>
          <w:tcPr/>
          <w:p>
            <w:pPr>
              <w:pStyle w:val="Compact"/>
              <w:jc w:val="left"/>
            </w:pPr>
            <w:r>
              <w:t xml:space="preserve">The latest address of which they told the body corporate in writing</w:t>
            </w:r>
          </w:p>
        </w:tc>
        <w:tc>
          <w:tcPr/>
          <w:p>
            <w:pPr>
              <w:pStyle w:val="Compact"/>
              <w:jc w:val="left"/>
            </w:pPr>
            <w:r>
              <w:t xml:space="preserve">PMR 15(1)(b) and 15(6)(b)</w:t>
            </w:r>
          </w:p>
        </w:tc>
        <w:tc>
          <w:tcPr/>
          <w:p>
            <w:pPr>
              <w:pStyle w:val="Compact"/>
              <w:jc w:val="center"/>
            </w:pPr>
            <w:r>
              <w:t xml:space="preserve">☐</w:t>
            </w:r>
          </w:p>
        </w:tc>
      </w:tr>
      <w:tr>
        <w:tc>
          <w:tcPr/>
          <w:p>
            <w:pPr>
              <w:pStyle w:val="Compact"/>
              <w:jc w:val="left"/>
            </w:pPr>
            <w:r>
              <w:t xml:space="preserve">Every holder of a future development right</w:t>
            </w:r>
          </w:p>
        </w:tc>
        <w:tc>
          <w:tcPr/>
          <w:p>
            <w:pPr>
              <w:pStyle w:val="Compact"/>
              <w:jc w:val="left"/>
            </w:pPr>
            <w:r>
              <w:t xml:space="preserve">The latest address of which they told the body corporate in writing</w:t>
            </w:r>
          </w:p>
        </w:tc>
        <w:tc>
          <w:tcPr/>
          <w:p>
            <w:pPr>
              <w:pStyle w:val="Compact"/>
              <w:jc w:val="left"/>
            </w:pPr>
            <w:r>
              <w:t xml:space="preserve">PMR 15(1)(c) and 15(6)(b)</w:t>
            </w:r>
          </w:p>
        </w:tc>
        <w:tc>
          <w:tcPr/>
          <w:p>
            <w:pPr>
              <w:pStyle w:val="Compact"/>
              <w:jc w:val="center"/>
            </w:pPr>
            <w:r>
              <w:t xml:space="preserve">☐</w:t>
            </w:r>
          </w:p>
        </w:tc>
      </w:tr>
      <w:tr>
        <w:tc>
          <w:tcPr/>
          <w:p>
            <w:pPr>
              <w:pStyle w:val="Compact"/>
              <w:jc w:val="left"/>
            </w:pPr>
            <w:r>
              <w:t xml:space="preserve">The managing agent</w:t>
            </w:r>
          </w:p>
        </w:tc>
        <w:tc>
          <w:tcPr/>
          <w:p>
            <w:pPr>
              <w:pStyle w:val="Compact"/>
              <w:jc w:val="left"/>
            </w:pPr>
            <w:r>
              <w:t xml:space="preserve">The latest address of which they told the body corporate in writing</w:t>
            </w:r>
          </w:p>
        </w:tc>
        <w:tc>
          <w:tcPr/>
          <w:p>
            <w:pPr>
              <w:pStyle w:val="Compact"/>
              <w:jc w:val="left"/>
            </w:pPr>
            <w:r>
              <w:t xml:space="preserve">PMR 15(1)(d) and 15(6)(b)</w:t>
            </w:r>
          </w:p>
        </w:tc>
        <w:tc>
          <w:tcPr/>
          <w:p>
            <w:pPr>
              <w:pStyle w:val="Compact"/>
              <w:jc w:val="center"/>
            </w:pPr>
            <w:r>
              <w:t xml:space="preserve">☐</w:t>
            </w:r>
          </w:p>
        </w:tc>
      </w:tr>
    </w:tbl>
    <w:p>
      <w:pPr>
        <w:pStyle w:val="BodyText"/>
      </w:pPr>
      <w:r>
        <w:t xml:space="preserve">Where a special or unanimous resolution is proposed, deliver each member’s notice by hand or by registered post. Email</w:t>
      </w:r>
      <w:r>
        <w:t xml:space="preserve"> </w:t>
      </w:r>
      <w:r>
        <w:t xml:space="preserve">may go too, but only in addition (STSMA s6(3)). A person entitled to notice may waive it in writing, and revoke the</w:t>
      </w:r>
      <w:r>
        <w:t xml:space="preserve"> </w:t>
      </w:r>
      <w:r>
        <w:t xml:space="preserve">waiver in the same way (PMR 15(2)).</w:t>
      </w:r>
    </w:p>
    <w:bookmarkEnd w:id="11"/>
    <w:bookmarkStart w:id="12" w:name="what-goes-with-the-notice"/>
    <w:p>
      <w:pPr>
        <w:pStyle w:val="Heading1"/>
      </w:pPr>
      <w:r>
        <w:t xml:space="preserve">4. What goes with the notice</w:t>
      </w:r>
    </w:p>
    <w:tbl>
      <w:tblPr>
        <w:tblStyle w:val="Table"/>
        <w:tblW w:type="pct" w:w="5000"/>
        <w:tblLayout w:type="fixed"/>
        <w:tblLook w:firstRow="1" w:lastRow="0" w:firstColumn="0" w:lastColumn="0" w:noHBand="0" w:noVBand="0" w:val="0020"/>
      </w:tblPr>
      <w:tblGrid>
        <w:gridCol w:w="5670"/>
        <w:gridCol w:w="1710"/>
        <w:gridCol w:w="540"/>
      </w:tblGrid>
      <w:tr>
        <w:trPr>
          <w:tblHeader w:val="on"/>
        </w:trPr>
        <w:tc>
          <w:tcPr/>
          <w:p>
            <w:pPr>
              <w:pStyle w:val="Compact"/>
              <w:jc w:val="left"/>
            </w:pPr>
            <w:r>
              <w:t xml:space="preserve">Item</w:t>
            </w:r>
          </w:p>
        </w:tc>
        <w:tc>
          <w:tcPr/>
          <w:p>
            <w:pPr>
              <w:pStyle w:val="Compact"/>
              <w:jc w:val="left"/>
            </w:pPr>
            <w:r>
              <w:t xml:space="preserve">Rule</w:t>
            </w:r>
          </w:p>
        </w:tc>
        <w:tc>
          <w:tcPr/>
          <w:p>
            <w:pPr>
              <w:pStyle w:val="Compact"/>
              <w:jc w:val="center"/>
            </w:pPr>
            <w:r>
              <w:t xml:space="preserve">Included</w:t>
            </w:r>
          </w:p>
        </w:tc>
      </w:tr>
      <w:tr>
        <w:tc>
          <w:tcPr/>
          <w:p>
            <w:pPr>
              <w:pStyle w:val="Compact"/>
              <w:jc w:val="left"/>
            </w:pPr>
            <w:r>
              <w:t xml:space="preserve">The place, date and hour of the meeting</w:t>
            </w:r>
          </w:p>
        </w:tc>
        <w:tc>
          <w:tcPr/>
          <w:p>
            <w:pPr>
              <w:pStyle w:val="Compact"/>
              <w:jc w:val="left"/>
            </w:pPr>
            <w:r>
              <w:t xml:space="preserve">PMR 15(1)</w:t>
            </w:r>
          </w:p>
        </w:tc>
        <w:tc>
          <w:tcPr/>
          <w:p>
            <w:pPr>
              <w:pStyle w:val="Compact"/>
              <w:jc w:val="center"/>
            </w:pPr>
            <w:r>
              <w:t xml:space="preserve">☐</w:t>
            </w:r>
          </w:p>
        </w:tc>
      </w:tr>
      <w:tr>
        <w:tc>
          <w:tcPr/>
          <w:p>
            <w:pPr>
              <w:pStyle w:val="Compact"/>
              <w:jc w:val="left"/>
            </w:pPr>
            <w:r>
              <w:t xml:space="preserve">The agenda, describing the general nature of all the business and the matters to be voted on, with the proposed wording of any special or unanimous resolution</w:t>
            </w:r>
          </w:p>
        </w:tc>
        <w:tc>
          <w:tcPr/>
          <w:p>
            <w:pPr>
              <w:pStyle w:val="Compact"/>
              <w:jc w:val="left"/>
            </w:pPr>
            <w:r>
              <w:t xml:space="preserve">PMR 15(3)(a) and 17(7)</w:t>
            </w:r>
          </w:p>
        </w:tc>
        <w:tc>
          <w:tcPr/>
          <w:p>
            <w:pPr>
              <w:pStyle w:val="Compact"/>
              <w:jc w:val="center"/>
            </w:pPr>
            <w:r>
              <w:t xml:space="preserve">☐</w:t>
            </w:r>
          </w:p>
        </w:tc>
      </w:tr>
      <w:tr>
        <w:tc>
          <w:tcPr/>
          <w:p>
            <w:pPr>
              <w:pStyle w:val="Compact"/>
              <w:jc w:val="left"/>
            </w:pPr>
            <w:r>
              <w:t xml:space="preserve">A copy or comprehensive summary of each document that the members will consider or approve, such as the trustees’ report, the schedule of insurance replacement values, the budgets and the annual financial statements</w:t>
            </w:r>
          </w:p>
        </w:tc>
        <w:tc>
          <w:tcPr/>
          <w:p>
            <w:pPr>
              <w:pStyle w:val="Compact"/>
              <w:jc w:val="left"/>
            </w:pPr>
            <w:r>
              <w:t xml:space="preserve">PMR 15(3)(b)</w:t>
            </w:r>
          </w:p>
        </w:tc>
        <w:tc>
          <w:tcPr/>
          <w:p>
            <w:pPr>
              <w:pStyle w:val="Compact"/>
              <w:jc w:val="center"/>
            </w:pPr>
            <w:r>
              <w:t xml:space="preserve">☐</w:t>
            </w:r>
          </w:p>
        </w:tc>
      </w:tr>
      <w:tr>
        <w:tc>
          <w:tcPr/>
          <w:p>
            <w:pPr>
              <w:pStyle w:val="Compact"/>
              <w:jc w:val="left"/>
            </w:pPr>
            <w:r>
              <w:t xml:space="preserve">A proxy appointment form in the prescribed format, Form C</w:t>
            </w:r>
          </w:p>
        </w:tc>
        <w:tc>
          <w:tcPr/>
          <w:p>
            <w:pPr>
              <w:pStyle w:val="Compact"/>
              <w:jc w:val="left"/>
            </w:pPr>
            <w:r>
              <w:t xml:space="preserve">PMR 15(3)(c)</w:t>
            </w:r>
          </w:p>
        </w:tc>
        <w:tc>
          <w:tcPr/>
          <w:p>
            <w:pPr>
              <w:pStyle w:val="Compact"/>
              <w:jc w:val="center"/>
            </w:pPr>
            <w:r>
              <w:t xml:space="preserve">☐</w:t>
            </w:r>
          </w:p>
        </w:tc>
      </w:tr>
    </w:tbl>
    <w:bookmarkEnd w:id="12"/>
    <w:bookmarkStart w:id="13" w:name="Xb2c89406cd8ad4d141f6e6721295fa6708c20ca"/>
    <w:p>
      <w:pPr>
        <w:pStyle w:val="Heading1"/>
      </w:pPr>
      <w:r>
        <w:t xml:space="preserve">5. The agenda, in the order of business of rule 17(6)</w:t>
      </w:r>
    </w:p>
    <w:tbl>
      <w:tblPr>
        <w:tblStyle w:val="Table"/>
        <w:tblW w:type="pct" w:w="5000"/>
        <w:tblLayout w:type="fixed"/>
        <w:tblLook w:firstRow="1" w:lastRow="0" w:firstColumn="0" w:lastColumn="0" w:noHBand="0" w:noVBand="0" w:val="0020"/>
      </w:tblPr>
      <w:tblGrid>
        <w:gridCol w:w="258"/>
        <w:gridCol w:w="4562"/>
        <w:gridCol w:w="1291"/>
        <w:gridCol w:w="1807"/>
      </w:tblGrid>
      <w:tr>
        <w:trPr>
          <w:tblHeader w:val="on"/>
        </w:trPr>
        <w:tc>
          <w:tcPr/>
          <w:p>
            <w:pPr>
              <w:pStyle w:val="Compact"/>
            </w:pPr>
          </w:p>
        </w:tc>
        <w:tc>
          <w:tcPr/>
          <w:p>
            <w:pPr>
              <w:pStyle w:val="Compact"/>
              <w:jc w:val="left"/>
            </w:pPr>
            <w:r>
              <w:t xml:space="preserve">Business</w:t>
            </w:r>
          </w:p>
        </w:tc>
        <w:tc>
          <w:tcPr/>
          <w:p>
            <w:pPr>
              <w:pStyle w:val="Compact"/>
              <w:jc w:val="left"/>
            </w:pPr>
            <w:r>
              <w:t xml:space="preserve">Rule</w:t>
            </w:r>
          </w:p>
        </w:tc>
        <w:tc>
          <w:tcPr/>
          <w:p>
            <w:pPr>
              <w:pStyle w:val="Compact"/>
              <w:jc w:val="left"/>
            </w:pPr>
            <w:r>
              <w:t xml:space="preserve">Resolution or note</w:t>
            </w:r>
          </w:p>
        </w:tc>
      </w:tr>
      <w:tr>
        <w:tc>
          <w:tcPr/>
          <w:p>
            <w:pPr>
              <w:pStyle w:val="Compact"/>
              <w:jc w:val="left"/>
            </w:pPr>
            <w:r>
              <w:t xml:space="preserve">1</w:t>
            </w:r>
          </w:p>
        </w:tc>
        <w:tc>
          <w:tcPr/>
          <w:p>
            <w:pPr>
              <w:pStyle w:val="Compact"/>
              <w:jc w:val="left"/>
            </w:pPr>
            <w:r>
              <w:t xml:space="preserve">Confirm the proxies, nominees and other persons representing members, and issue voting cards</w:t>
            </w:r>
          </w:p>
        </w:tc>
        <w:tc>
          <w:tcPr/>
          <w:p>
            <w:pPr>
              <w:pStyle w:val="Compact"/>
              <w:jc w:val="left"/>
            </w:pPr>
            <w:r>
              <w:t xml:space="preserve">PMR 17(6)(a)</w:t>
            </w:r>
          </w:p>
        </w:tc>
        <w:tc>
          <w:tcPr/>
          <w:p>
            <w:pPr>
              <w:pStyle w:val="Compact"/>
            </w:pPr>
          </w:p>
        </w:tc>
      </w:tr>
      <w:tr>
        <w:tc>
          <w:tcPr/>
          <w:p>
            <w:pPr>
              <w:pStyle w:val="Compact"/>
              <w:jc w:val="left"/>
            </w:pPr>
            <w:r>
              <w:t xml:space="preserve">2</w:t>
            </w:r>
          </w:p>
        </w:tc>
        <w:tc>
          <w:tcPr/>
          <w:p>
            <w:pPr>
              <w:pStyle w:val="Compact"/>
              <w:jc w:val="left"/>
            </w:pPr>
            <w:r>
              <w:t xml:space="preserve">Determine that there is a quorum</w:t>
            </w:r>
          </w:p>
        </w:tc>
        <w:tc>
          <w:tcPr/>
          <w:p>
            <w:pPr>
              <w:pStyle w:val="Compact"/>
              <w:jc w:val="left"/>
            </w:pPr>
            <w:r>
              <w:t xml:space="preserve">PMR 17(6)(b)</w:t>
            </w:r>
          </w:p>
        </w:tc>
        <w:tc>
          <w:tcPr/>
          <w:p>
            <w:pPr>
              <w:pStyle w:val="Compact"/>
            </w:pPr>
          </w:p>
        </w:tc>
      </w:tr>
      <w:tr>
        <w:tc>
          <w:tcPr/>
          <w:p>
            <w:pPr>
              <w:pStyle w:val="Compact"/>
              <w:jc w:val="left"/>
            </w:pPr>
            <w:r>
              <w:t xml:space="preserve">3</w:t>
            </w:r>
          </w:p>
        </w:tc>
        <w:tc>
          <w:tcPr/>
          <w:p>
            <w:pPr>
              <w:pStyle w:val="Compact"/>
              <w:jc w:val="left"/>
            </w:pPr>
            <w:r>
              <w:t xml:space="preserve">Elect a person to chair the meeting, if necessary</w:t>
            </w:r>
          </w:p>
        </w:tc>
        <w:tc>
          <w:tcPr/>
          <w:p>
            <w:pPr>
              <w:pStyle w:val="Compact"/>
              <w:jc w:val="left"/>
            </w:pPr>
            <w:r>
              <w:t xml:space="preserve">PMR 17(6)(c)</w:t>
            </w:r>
          </w:p>
        </w:tc>
        <w:tc>
          <w:tcPr/>
          <w:p>
            <w:pPr>
              <w:pStyle w:val="Compact"/>
            </w:pPr>
          </w:p>
        </w:tc>
      </w:tr>
      <w:tr>
        <w:tc>
          <w:tcPr/>
          <w:p>
            <w:pPr>
              <w:pStyle w:val="Compact"/>
              <w:jc w:val="left"/>
            </w:pPr>
            <w:r>
              <w:t xml:space="preserve">4</w:t>
            </w:r>
          </w:p>
        </w:tc>
        <w:tc>
          <w:tcPr/>
          <w:p>
            <w:pPr>
              <w:pStyle w:val="Compact"/>
              <w:jc w:val="left"/>
            </w:pPr>
            <w:r>
              <w:t xml:space="preserve">Present proof of notice of the meeting, or the waivers of notice</w:t>
            </w:r>
          </w:p>
        </w:tc>
        <w:tc>
          <w:tcPr/>
          <w:p>
            <w:pPr>
              <w:pStyle w:val="Compact"/>
              <w:jc w:val="left"/>
            </w:pPr>
            <w:r>
              <w:t xml:space="preserve">PMR 17(6)(d)</w:t>
            </w:r>
          </w:p>
        </w:tc>
        <w:tc>
          <w:tcPr/>
          <w:p>
            <w:pPr>
              <w:pStyle w:val="Compact"/>
            </w:pPr>
          </w:p>
        </w:tc>
      </w:tr>
      <w:tr>
        <w:tc>
          <w:tcPr/>
          <w:p>
            <w:pPr>
              <w:pStyle w:val="Compact"/>
              <w:jc w:val="left"/>
            </w:pPr>
            <w:r>
              <w:t xml:space="preserve">5</w:t>
            </w:r>
          </w:p>
        </w:tc>
        <w:tc>
          <w:tcPr/>
          <w:p>
            <w:pPr>
              <w:pStyle w:val="Compact"/>
              <w:jc w:val="left"/>
            </w:pPr>
            <w:r>
              <w:t xml:space="preserve">Approve the agenda</w:t>
            </w:r>
          </w:p>
        </w:tc>
        <w:tc>
          <w:tcPr/>
          <w:p>
            <w:pPr>
              <w:pStyle w:val="Compact"/>
              <w:jc w:val="left"/>
            </w:pPr>
            <w:r>
              <w:t xml:space="preserve">PMR 17(6)(e)</w:t>
            </w:r>
          </w:p>
        </w:tc>
        <w:tc>
          <w:tcPr/>
          <w:p>
            <w:pPr>
              <w:pStyle w:val="Compact"/>
            </w:pPr>
          </w:p>
        </w:tc>
      </w:tr>
      <w:tr>
        <w:tc>
          <w:tcPr/>
          <w:p>
            <w:pPr>
              <w:pStyle w:val="Compact"/>
              <w:jc w:val="left"/>
            </w:pPr>
            <w:r>
              <w:t xml:space="preserve">6</w:t>
            </w:r>
          </w:p>
        </w:tc>
        <w:tc>
          <w:tcPr/>
          <w:p>
            <w:pPr>
              <w:pStyle w:val="Compact"/>
              <w:jc w:val="left"/>
            </w:pPr>
            <w:r>
              <w:t xml:space="preserve">Approve the minutes of the previous general meeting, if any</w:t>
            </w:r>
          </w:p>
        </w:tc>
        <w:tc>
          <w:tcPr/>
          <w:p>
            <w:pPr>
              <w:pStyle w:val="Compact"/>
              <w:jc w:val="left"/>
            </w:pPr>
            <w:r>
              <w:t xml:space="preserve">PMR 17(6)(f)</w:t>
            </w:r>
          </w:p>
        </w:tc>
        <w:tc>
          <w:tcPr/>
          <w:p>
            <w:pPr>
              <w:pStyle w:val="Compact"/>
            </w:pPr>
          </w:p>
        </w:tc>
      </w:tr>
      <w:tr>
        <w:tc>
          <w:tcPr/>
          <w:p>
            <w:pPr>
              <w:pStyle w:val="Compact"/>
              <w:jc w:val="left"/>
            </w:pPr>
            <w:r>
              <w:t xml:space="preserve">7</w:t>
            </w:r>
          </w:p>
        </w:tc>
        <w:tc>
          <w:tcPr/>
          <w:p>
            <w:pPr>
              <w:pStyle w:val="Compact"/>
              <w:jc w:val="left"/>
            </w:pPr>
            <w:r>
              <w:t xml:space="preserve">Deal with unfinished business, if any</w:t>
            </w:r>
          </w:p>
        </w:tc>
        <w:tc>
          <w:tcPr/>
          <w:p>
            <w:pPr>
              <w:pStyle w:val="Compact"/>
              <w:jc w:val="left"/>
            </w:pPr>
            <w:r>
              <w:t xml:space="preserve">PMR 17(6)(g)</w:t>
            </w:r>
          </w:p>
        </w:tc>
        <w:tc>
          <w:tcPr/>
          <w:p>
            <w:pPr>
              <w:pStyle w:val="Compact"/>
            </w:pPr>
          </w:p>
        </w:tc>
      </w:tr>
      <w:tr>
        <w:tc>
          <w:tcPr/>
          <w:p>
            <w:pPr>
              <w:pStyle w:val="Compact"/>
              <w:jc w:val="left"/>
            </w:pPr>
            <w:r>
              <w:t xml:space="preserve">8</w:t>
            </w:r>
          </w:p>
        </w:tc>
        <w:tc>
          <w:tcPr/>
          <w:p>
            <w:pPr>
              <w:pStyle w:val="Compact"/>
              <w:jc w:val="left"/>
            </w:pPr>
            <w:r>
              <w:t xml:space="preserve">Deal with the motions or matters that members or a bondholder included in a request for the meeting</w:t>
            </w:r>
          </w:p>
        </w:tc>
        <w:tc>
          <w:tcPr/>
          <w:p>
            <w:pPr>
              <w:pStyle w:val="Compact"/>
              <w:jc w:val="left"/>
            </w:pPr>
            <w:r>
              <w:t xml:space="preserve">PMR 17(6)(h) and 17(5)</w:t>
            </w:r>
          </w:p>
        </w:tc>
        <w:tc>
          <w:tcPr/>
          <w:p>
            <w:pPr>
              <w:pStyle w:val="Compact"/>
            </w:pPr>
          </w:p>
        </w:tc>
      </w:tr>
      <w:tr>
        <w:tc>
          <w:tcPr/>
          <w:p>
            <w:pPr>
              <w:pStyle w:val="Compact"/>
              <w:jc w:val="left"/>
            </w:pPr>
            <w:r>
              <w:t xml:space="preserve">9</w:t>
            </w:r>
          </w:p>
        </w:tc>
        <w:tc>
          <w:tcPr/>
          <w:p>
            <w:pPr>
              <w:pStyle w:val="Compact"/>
              <w:jc w:val="left"/>
            </w:pPr>
            <w:r>
              <w:t xml:space="preserve">At the first general meeting, deal with the business of rule 16(2)</w:t>
            </w:r>
          </w:p>
        </w:tc>
        <w:tc>
          <w:tcPr/>
          <w:p>
            <w:pPr>
              <w:pStyle w:val="Compact"/>
              <w:jc w:val="left"/>
            </w:pPr>
            <w:r>
              <w:t xml:space="preserve">PMR 17(6)(i)</w:t>
            </w:r>
          </w:p>
        </w:tc>
        <w:tc>
          <w:tcPr/>
          <w:p>
            <w:pPr>
              <w:pStyle w:val="Compact"/>
            </w:pPr>
          </w:p>
        </w:tc>
      </w:tr>
      <w:tr>
        <w:tc>
          <w:tcPr/>
          <w:p>
            <w:pPr>
              <w:pStyle w:val="Compact"/>
              <w:jc w:val="left"/>
            </w:pPr>
            <w:r>
              <w:t xml:space="preserve">10</w:t>
            </w:r>
          </w:p>
        </w:tc>
        <w:tc>
          <w:tcPr/>
          <w:p>
            <w:pPr>
              <w:pStyle w:val="Compact"/>
              <w:jc w:val="left"/>
            </w:pPr>
            <w:r>
              <w:t xml:space="preserve">Receive the trustees’ reports of their activities and decisions since the previous general meeting, with the reports of committees</w:t>
            </w:r>
          </w:p>
        </w:tc>
        <w:tc>
          <w:tcPr/>
          <w:p>
            <w:pPr>
              <w:pStyle w:val="Compact"/>
              <w:jc w:val="left"/>
            </w:pPr>
            <w:r>
              <w:t xml:space="preserve">PMR 17(6)(j)(i)</w:t>
            </w:r>
          </w:p>
        </w:tc>
        <w:tc>
          <w:tcPr/>
          <w:p>
            <w:pPr>
              <w:pStyle w:val="Compact"/>
            </w:pPr>
          </w:p>
        </w:tc>
      </w:tr>
      <w:tr>
        <w:tc>
          <w:tcPr/>
          <w:p>
            <w:pPr>
              <w:pStyle w:val="Compact"/>
              <w:jc w:val="left"/>
            </w:pPr>
            <w:r>
              <w:t xml:space="preserve">11</w:t>
            </w:r>
          </w:p>
        </w:tc>
        <w:tc>
          <w:tcPr/>
          <w:p>
            <w:pPr>
              <w:pStyle w:val="Compact"/>
              <w:jc w:val="left"/>
            </w:pPr>
            <w:r>
              <w:t xml:space="preserve">Approve the schedule of insurance replacement values, with or without amendment</w:t>
            </w:r>
          </w:p>
        </w:tc>
        <w:tc>
          <w:tcPr/>
          <w:p>
            <w:pPr>
              <w:pStyle w:val="Compact"/>
              <w:jc w:val="left"/>
            </w:pPr>
            <w:r>
              <w:t xml:space="preserve">PMR 17(6)(j)(ii) and 23(3)</w:t>
            </w:r>
          </w:p>
        </w:tc>
        <w:tc>
          <w:tcPr/>
          <w:p>
            <w:pPr>
              <w:pStyle w:val="Compact"/>
            </w:pPr>
          </w:p>
        </w:tc>
      </w:tr>
      <w:tr>
        <w:tc>
          <w:tcPr/>
          <w:p>
            <w:pPr>
              <w:pStyle w:val="Compact"/>
              <w:jc w:val="left"/>
            </w:pPr>
            <w:r>
              <w:t xml:space="preserve">12</w:t>
            </w:r>
          </w:p>
        </w:tc>
        <w:tc>
          <w:tcPr/>
          <w:p>
            <w:pPr>
              <w:pStyle w:val="Compact"/>
              <w:jc w:val="left"/>
            </w:pPr>
            <w:r>
              <w:t xml:space="preserve">Determine the extent of the body corporate’s insurance cover</w:t>
            </w:r>
          </w:p>
        </w:tc>
        <w:tc>
          <w:tcPr/>
          <w:p>
            <w:pPr>
              <w:pStyle w:val="Compact"/>
              <w:jc w:val="left"/>
            </w:pPr>
            <w:r>
              <w:t xml:space="preserve">PMR 17(6)(j)(iii) and 23(6) to (8)</w:t>
            </w:r>
          </w:p>
        </w:tc>
        <w:tc>
          <w:tcPr/>
          <w:p>
            <w:pPr>
              <w:pStyle w:val="Compact"/>
            </w:pPr>
          </w:p>
        </w:tc>
      </w:tr>
      <w:tr>
        <w:tc>
          <w:tcPr/>
          <w:p>
            <w:pPr>
              <w:pStyle w:val="Compact"/>
              <w:jc w:val="left"/>
            </w:pPr>
            <w:r>
              <w:t xml:space="preserve">13</w:t>
            </w:r>
          </w:p>
        </w:tc>
        <w:tc>
          <w:tcPr/>
          <w:p>
            <w:pPr>
              <w:pStyle w:val="Compact"/>
              <w:jc w:val="left"/>
            </w:pPr>
            <w:r>
              <w:t xml:space="preserve">Approve the budgets of the administrative and reserve funds for the next financial year</w:t>
            </w:r>
          </w:p>
        </w:tc>
        <w:tc>
          <w:tcPr/>
          <w:p>
            <w:pPr>
              <w:pStyle w:val="Compact"/>
              <w:jc w:val="left"/>
            </w:pPr>
            <w:r>
              <w:t xml:space="preserve">PMR 17(6)(j)(iv)</w:t>
            </w:r>
          </w:p>
        </w:tc>
        <w:tc>
          <w:tcPr/>
          <w:p>
            <w:pPr>
              <w:pStyle w:val="Compact"/>
            </w:pPr>
          </w:p>
        </w:tc>
      </w:tr>
      <w:tr>
        <w:tc>
          <w:tcPr/>
          <w:p>
            <w:pPr>
              <w:pStyle w:val="Compact"/>
              <w:jc w:val="left"/>
            </w:pPr>
            <w:r>
              <w:t xml:space="preserve">14</w:t>
            </w:r>
          </w:p>
        </w:tc>
        <w:tc>
          <w:tcPr/>
          <w:p>
            <w:pPr>
              <w:pStyle w:val="Compact"/>
              <w:jc w:val="left"/>
            </w:pPr>
            <w:r>
              <w:t xml:space="preserve">Consider the annual financial statements</w:t>
            </w:r>
          </w:p>
        </w:tc>
        <w:tc>
          <w:tcPr/>
          <w:p>
            <w:pPr>
              <w:pStyle w:val="Compact"/>
              <w:jc w:val="left"/>
            </w:pPr>
            <w:r>
              <w:t xml:space="preserve">PMR 17(6)(j)(v)</w:t>
            </w:r>
          </w:p>
        </w:tc>
        <w:tc>
          <w:tcPr/>
          <w:p>
            <w:pPr>
              <w:pStyle w:val="Compact"/>
            </w:pPr>
          </w:p>
        </w:tc>
      </w:tr>
      <w:tr>
        <w:tc>
          <w:tcPr/>
          <w:p>
            <w:pPr>
              <w:pStyle w:val="Compact"/>
              <w:jc w:val="left"/>
            </w:pPr>
            <w:r>
              <w:t xml:space="preserve">15</w:t>
            </w:r>
          </w:p>
        </w:tc>
        <w:tc>
          <w:tcPr/>
          <w:p>
            <w:pPr>
              <w:pStyle w:val="Compact"/>
              <w:jc w:val="left"/>
            </w:pPr>
            <w:r>
              <w:t xml:space="preserve">Appoint an auditor to audit the annual financial statements, unless one person owns every section</w:t>
            </w:r>
          </w:p>
        </w:tc>
        <w:tc>
          <w:tcPr/>
          <w:p>
            <w:pPr>
              <w:pStyle w:val="Compact"/>
              <w:jc w:val="left"/>
            </w:pPr>
            <w:r>
              <w:t xml:space="preserve">PMR 17(6)(j)(vi)</w:t>
            </w:r>
          </w:p>
        </w:tc>
        <w:tc>
          <w:tcPr/>
          <w:p>
            <w:pPr>
              <w:pStyle w:val="Compact"/>
            </w:pPr>
          </w:p>
        </w:tc>
      </w:tr>
      <w:tr>
        <w:tc>
          <w:tcPr/>
          <w:p>
            <w:pPr>
              <w:pStyle w:val="Compact"/>
              <w:jc w:val="left"/>
            </w:pPr>
            <w:r>
              <w:t xml:space="preserve">16</w:t>
            </w:r>
          </w:p>
        </w:tc>
        <w:tc>
          <w:tcPr/>
          <w:p>
            <w:pPr>
              <w:pStyle w:val="Compact"/>
              <w:jc w:val="left"/>
            </w:pPr>
            <w:r>
              <w:t xml:space="preserve">Determine the number of trustees for the next financial year, where the body corporate has more than four members who own primary sections and no executive managing agent manages it under rule 28</w:t>
            </w:r>
          </w:p>
        </w:tc>
        <w:tc>
          <w:tcPr/>
          <w:p>
            <w:pPr>
              <w:pStyle w:val="Compact"/>
              <w:jc w:val="left"/>
            </w:pPr>
            <w:r>
              <w:t xml:space="preserve">PMR 17(6)(j)(vii)</w:t>
            </w:r>
          </w:p>
        </w:tc>
        <w:tc>
          <w:tcPr/>
          <w:p>
            <w:pPr>
              <w:pStyle w:val="Compact"/>
            </w:pPr>
          </w:p>
        </w:tc>
      </w:tr>
      <w:tr>
        <w:tc>
          <w:tcPr/>
          <w:p>
            <w:pPr>
              <w:pStyle w:val="Compact"/>
              <w:jc w:val="left"/>
            </w:pPr>
            <w:r>
              <w:t xml:space="preserve">17</w:t>
            </w:r>
          </w:p>
        </w:tc>
        <w:tc>
          <w:tcPr/>
          <w:p>
            <w:pPr>
              <w:pStyle w:val="Compact"/>
              <w:jc w:val="left"/>
            </w:pPr>
            <w:r>
              <w:t xml:space="preserve">Elect the trustees</w:t>
            </w:r>
          </w:p>
        </w:tc>
        <w:tc>
          <w:tcPr/>
          <w:p>
            <w:pPr>
              <w:pStyle w:val="Compact"/>
              <w:jc w:val="left"/>
            </w:pPr>
            <w:r>
              <w:t xml:space="preserve">PMR 17(6)(j)(viii)</w:t>
            </w:r>
          </w:p>
        </w:tc>
        <w:tc>
          <w:tcPr/>
          <w:p>
            <w:pPr>
              <w:pStyle w:val="Compact"/>
            </w:pPr>
          </w:p>
        </w:tc>
      </w:tr>
      <w:tr>
        <w:tc>
          <w:tcPr/>
          <w:p>
            <w:pPr>
              <w:pStyle w:val="Compact"/>
              <w:jc w:val="left"/>
            </w:pPr>
            <w:r>
              <w:t xml:space="preserve">18</w:t>
            </w:r>
          </w:p>
        </w:tc>
        <w:tc>
          <w:tcPr/>
          <w:p>
            <w:pPr>
              <w:pStyle w:val="Compact"/>
              <w:jc w:val="left"/>
            </w:pPr>
            <w:r>
              <w:t xml:space="preserve">Report on the lodging of any amendments to the scheme’s rules and, if applicable, table a consolidated set of the rules</w:t>
            </w:r>
          </w:p>
        </w:tc>
        <w:tc>
          <w:tcPr/>
          <w:p>
            <w:pPr>
              <w:pStyle w:val="Compact"/>
              <w:jc w:val="left"/>
            </w:pPr>
            <w:r>
              <w:t xml:space="preserve">PMR 17(6)(k)</w:t>
            </w:r>
          </w:p>
        </w:tc>
        <w:tc>
          <w:tcPr/>
          <w:p>
            <w:pPr>
              <w:pStyle w:val="Compact"/>
            </w:pPr>
          </w:p>
        </w:tc>
      </w:tr>
      <w:tr>
        <w:tc>
          <w:tcPr/>
          <w:p>
            <w:pPr>
              <w:pStyle w:val="Compact"/>
              <w:jc w:val="left"/>
            </w:pPr>
            <w:r>
              <w:t xml:space="preserve">19</w:t>
            </w:r>
          </w:p>
        </w:tc>
        <w:tc>
          <w:tcPr/>
          <w:p>
            <w:pPr>
              <w:pStyle w:val="Compact"/>
              <w:jc w:val="left"/>
            </w:pPr>
            <w:r>
              <w:t xml:space="preserve">Deal with any new or further business</w:t>
            </w:r>
          </w:p>
        </w:tc>
        <w:tc>
          <w:tcPr/>
          <w:p>
            <w:pPr>
              <w:pStyle w:val="Compact"/>
              <w:jc w:val="left"/>
            </w:pPr>
            <w:r>
              <w:t xml:space="preserve">PMR 17(6)(l)</w:t>
            </w:r>
          </w:p>
        </w:tc>
        <w:tc>
          <w:tcPr/>
          <w:p>
            <w:pPr>
              <w:pStyle w:val="Compact"/>
            </w:pPr>
          </w:p>
        </w:tc>
      </w:tr>
      <w:tr>
        <w:tc>
          <w:tcPr/>
          <w:p>
            <w:pPr>
              <w:pStyle w:val="Compact"/>
              <w:jc w:val="left"/>
            </w:pPr>
            <w:r>
              <w:t xml:space="preserve">20</w:t>
            </w:r>
          </w:p>
        </w:tc>
        <w:tc>
          <w:tcPr/>
          <w:p>
            <w:pPr>
              <w:pStyle w:val="Compact"/>
              <w:jc w:val="left"/>
            </w:pPr>
            <w:r>
              <w:t xml:space="preserve">Give directions or impose restrictions under section 7(1) of the Act</w:t>
            </w:r>
          </w:p>
        </w:tc>
        <w:tc>
          <w:tcPr/>
          <w:p>
            <w:pPr>
              <w:pStyle w:val="Compact"/>
              <w:jc w:val="left"/>
            </w:pPr>
            <w:r>
              <w:t xml:space="preserve">PMR 17(6)(m)</w:t>
            </w:r>
          </w:p>
        </w:tc>
        <w:tc>
          <w:tcPr/>
          <w:p>
            <w:pPr>
              <w:pStyle w:val="Compact"/>
            </w:pPr>
          </w:p>
        </w:tc>
      </w:tr>
      <w:tr>
        <w:tc>
          <w:tcPr/>
          <w:p>
            <w:pPr>
              <w:pStyle w:val="Compact"/>
              <w:jc w:val="left"/>
            </w:pPr>
            <w:r>
              <w:t xml:space="preserve">21</w:t>
            </w:r>
          </w:p>
        </w:tc>
        <w:tc>
          <w:tcPr/>
          <w:p>
            <w:pPr>
              <w:pStyle w:val="Compact"/>
              <w:jc w:val="left"/>
            </w:pPr>
            <w:r>
              <w:t xml:space="preserve">Dissolve the meeting</w:t>
            </w:r>
          </w:p>
        </w:tc>
        <w:tc>
          <w:tcPr/>
          <w:p>
            <w:pPr>
              <w:pStyle w:val="Compact"/>
              <w:jc w:val="left"/>
            </w:pPr>
            <w:r>
              <w:t xml:space="preserve">PMR 17(6)(n)</w:t>
            </w:r>
          </w:p>
        </w:tc>
        <w:tc>
          <w:tcPr/>
          <w:p>
            <w:pPr>
              <w:pStyle w:val="Compact"/>
            </w:pPr>
          </w:p>
        </w:tc>
      </w:tr>
    </w:tbl>
    <w:p>
      <w:pPr>
        <w:pStyle w:val="BodyText"/>
      </w:pPr>
      <w:r>
        <w:t xml:space="preserve">Items 10 to 17 belong to the annual general meeting. Leave out an item that does not apply, and keep the order.</w:t>
      </w:r>
    </w:p>
    <w:bookmarkEnd w:id="13"/>
    <w:bookmarkStart w:id="14" w:name="the-resolutions"/>
    <w:p>
      <w:pPr>
        <w:pStyle w:val="Heading1"/>
      </w:pPr>
      <w:r>
        <w:t xml:space="preserve">6. The resolutions</w:t>
      </w:r>
    </w:p>
    <w:tbl>
      <w:tblPr>
        <w:tblStyle w:val="Table"/>
        <w:tblW w:type="pct" w:w="5000"/>
        <w:tblLayout w:type="fixed"/>
        <w:tblLook w:firstRow="1" w:lastRow="0" w:firstColumn="0" w:lastColumn="0" w:noHBand="0" w:noVBand="0" w:val="0020"/>
      </w:tblPr>
      <w:tblGrid>
        <w:gridCol w:w="552"/>
        <w:gridCol w:w="1289"/>
        <w:gridCol w:w="4696"/>
        <w:gridCol w:w="1381"/>
      </w:tblGrid>
      <w:tr>
        <w:trPr>
          <w:tblHeader w:val="on"/>
        </w:trPr>
        <w:tc>
          <w:tcPr/>
          <w:p>
            <w:pPr>
              <w:pStyle w:val="Compact"/>
              <w:jc w:val="center"/>
            </w:pPr>
            <w:r>
              <w:t xml:space="preserve">Item</w:t>
            </w:r>
          </w:p>
        </w:tc>
        <w:tc>
          <w:tcPr/>
          <w:p>
            <w:pPr>
              <w:pStyle w:val="Compact"/>
              <w:jc w:val="left"/>
            </w:pPr>
            <w:r>
              <w:t xml:space="preserve">Type</w:t>
            </w:r>
          </w:p>
        </w:tc>
        <w:tc>
          <w:tcPr/>
          <w:p>
            <w:pPr>
              <w:pStyle w:val="Compact"/>
              <w:jc w:val="left"/>
            </w:pPr>
            <w:r>
              <w:t xml:space="preserve">Proposed wording</w:t>
            </w:r>
          </w:p>
        </w:tc>
        <w:tc>
          <w:tcPr/>
          <w:p>
            <w:pPr>
              <w:pStyle w:val="Compact"/>
              <w:jc w:val="left"/>
            </w:pPr>
            <w:r>
              <w:t xml:space="preserve">Proposer</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p>
      <w:pPr>
        <w:pStyle w:val="BodyText"/>
      </w:pPr>
      <w:r>
        <w:t xml:space="preserve">An ordinary resolution passes by a majority of the votes, in value, of the members present and voting (PMR 20(1)(b)).</w:t>
      </w:r>
      <w:r>
        <w:t xml:space="preserve"> </w:t>
      </w:r>
      <w:r>
        <w:t xml:space="preserve">A special resolution needs at least 75 % of the votes of the members represented at the meeting, in value and in</w:t>
      </w:r>
      <w:r>
        <w:t xml:space="preserve"> </w:t>
      </w:r>
      <w:r>
        <w:t xml:space="preserve">number (STSMA s1). A unanimous resolution needs at least 80 % of the votes of all the members, in value and in number,</w:t>
      </w:r>
      <w:r>
        <w:t xml:space="preserve"> </w:t>
      </w:r>
      <w:r>
        <w:t xml:space="preserve">present or represented, and every member who votes to vote in favour (STSMA s1). Both need 30 days’ notice (STSMA</w:t>
      </w:r>
      <w:r>
        <w:t xml:space="preserve"> </w:t>
      </w:r>
      <w:r>
        <w:t xml:space="preserve">s6(2)).</w:t>
      </w:r>
    </w:p>
    <w:bookmarkEnd w:id="14"/>
    <w:bookmarkStart w:id="15" w:name="what-estate-manager-does-for-you"/>
    <w:p>
      <w:pPr>
        <w:pStyle w:val="Heading1"/>
      </w:pPr>
      <w:r>
        <w:t xml:space="preserve">7. What Estate Manager does for you</w:t>
      </w:r>
    </w:p>
    <w:p>
      <w:pPr>
        <w:pStyle w:val="FirstParagraph"/>
      </w:pPr>
      <w:r>
        <w:t xml:space="preserve">Estate Manager’s notice pack carries most of this checklist itself:</w:t>
      </w:r>
    </w:p>
    <w:p>
      <w:pPr>
        <w:pStyle w:val="Compact"/>
        <w:numPr>
          <w:ilvl w:val="0"/>
          <w:numId w:val="1001"/>
        </w:numPr>
      </w:pPr>
      <w:r>
        <w:t xml:space="preserve">The notice period of each meeting and the last day to send the notice, with a reminder on the dashboard.</w:t>
      </w:r>
    </w:p>
    <w:p>
      <w:pPr>
        <w:pStyle w:val="Compact"/>
        <w:numPr>
          <w:ilvl w:val="0"/>
          <w:numId w:val="1001"/>
        </w:numPr>
      </w:pPr>
      <w:r>
        <w:t xml:space="preserve">The pack: the place, date and time, the agenda in the order of rule 17(6), each resolution with its type and its</w:t>
      </w:r>
      <w:r>
        <w:t xml:space="preserve"> </w:t>
      </w:r>
      <w:r>
        <w:t xml:space="preserve">wording, the list of papers with a link to them, and Form C filled in for each member.</w:t>
      </w:r>
    </w:p>
    <w:p>
      <w:pPr>
        <w:pStyle w:val="Compact"/>
        <w:numPr>
          <w:ilvl w:val="0"/>
          <w:numId w:val="1001"/>
        </w:numPr>
      </w:pPr>
      <w:r>
        <w:t xml:space="preserve">Delivery by email to the members who chose email in writing, and a record of each notice on paper with the address</w:t>
      </w:r>
      <w:r>
        <w:t xml:space="preserve"> </w:t>
      </w:r>
      <w:r>
        <w:t xml:space="preserve">it went to.</w:t>
      </w:r>
    </w:p>
    <w:p>
      <w:pPr>
        <w:pStyle w:val="Compact"/>
        <w:numPr>
          <w:ilvl w:val="0"/>
          <w:numId w:val="1001"/>
        </w:numPr>
      </w:pPr>
      <w:r>
        <w:t xml:space="preserve">Delivery to the managing agent, and to each registered bondholder and holder of a future development right whose</w:t>
      </w:r>
      <w:r>
        <w:t xml:space="preserve"> </w:t>
      </w:r>
      <w:r>
        <w:t xml:space="preserve">email address the register keeps.</w:t>
      </w:r>
    </w:p>
    <w:p>
      <w:pPr>
        <w:pStyle w:val="Compact"/>
        <w:numPr>
          <w:ilvl w:val="0"/>
          <w:numId w:val="1001"/>
        </w:numPr>
      </w:pPr>
      <w:r>
        <w:t xml:space="preserve">A warning for the usual papers of an annual general meeting that are missing.</w:t>
      </w:r>
    </w:p>
    <w:p>
      <w:pPr>
        <w:pStyle w:val="FirstParagraph"/>
      </w:pPr>
      <w:r>
        <w:t xml:space="preserve">The trustees still decide the business, write the reports and approve the papers, and the notices on paper still go</w:t>
      </w:r>
      <w:r>
        <w:t xml:space="preserve"> </w:t>
      </w:r>
      <w:r>
        <w:t xml:space="preserve">by hand or by post.</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general meeting: agenda and notice checklist</dc:title>
  <dc:creator/>
  <cp:keywords/>
  <dcterms:created xsi:type="dcterms:W3CDTF">2026-10-22T01:41:18Z</dcterms:created>
  <dcterms:modified xsi:type="dcterms:W3CDTF">2026-10-22T01:41:18Z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For a sectional title scheme under the prescribed management rules</vt:lpwstr>
  </property>
</Properties>
</file>