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7a20fa1454b2f" /><Relationship Type="http://schemas.openxmlformats.org/package/2006/relationships/metadata/core-properties" Target="/package/services/metadata/core-properties/02c45d577d75420490c46c5d71d55f3a.psmdcp" Id="Re02983dffa3a4ac2" /></Relationships>
</file>

<file path=word/document.xml><?xml version="1.0" encoding="utf-8"?>
<w:document xmlns:w="http://schemas.openxmlformats.org/wordprocessingml/2006/main">
  <w:body>
    <w:p>
      <w:pPr>
        <w:pStyle w:val="SchemeLine"/>
      </w:pPr>
      <w:r>
        <w:t xml:space="preserve">[Name of the scheme] · [SS number/year]</w:t>
      </w:r>
    </w:p>
    <w:p>
      <w:pPr>
        <w:pStyle w:val="Title"/>
      </w:pPr>
      <w:r>
        <w:t xml:space="preserve">Minutes of [Name of the meeting]</w:t>
      </w:r>
    </w:p>
    <w:p>
      <w:pPr>
        <w:pStyle w:val="HeldOn"/>
      </w:pPr>
      <w:r>
        <w:t xml:space="preserve">General meeting of [Name of the scheme], sectional title scheme, held at [Venue of the meeting], and electronically on 27 October 2026 at 18:00.</w:t>
      </w:r>
    </w:p>
    <w:p>
      <w:pPr>
        <w:pStyle w:val="Draft"/>
      </w:pPr>
      <w:r>
        <w:t xml:space="preserve">Draft for the secretary to edit and the meeting to adopt. Drafted by Estate Manager on 27 October 2026 at 02:04. The draft records the result of each vote and never how a member voted.</w:t>
      </w:r>
    </w:p>
    <w:p>
      <w:pPr>
        <w:pStyle w:val="Item"/>
      </w:pPr>
      <w:r>
        <w:t xml:space="preserve">1. </w:t>
      </w:r>
      <w:r>
        <w:tab/>
      </w:r>
      <w:r>
        <w:rPr>
          <w:b/>
        </w:rPr>
        <w:t xml:space="preserve">Opening. </w:t>
      </w:r>
      <w:r>
        <w:t xml:space="preserve">[Name of the chairperson] took the chair and the meeting opened at 18:00. The meeting was appointed for 27 October 2026 at 18:00. Electronic participation was offered (PMR 17(10)). The meeting was closed at 27 October 2026 at 19:30.</w:t>
      </w:r>
    </w:p>
    <w:p>
      <w:pPr>
        <w:pStyle w:val="Item"/>
      </w:pPr>
      <w:r>
        <w:t xml:space="preserve">2. </w:t>
      </w:r>
      <w:r>
        <w:tab/>
      </w:r>
      <w:r>
        <w:rPr>
          <w:b/>
        </w:rPr>
        <w:t xml:space="preserve">Notice. </w:t>
      </w:r>
      <w:r>
        <w:t xml:space="preserve">Notice was issued on 27 September 2026 at 18:00 by [Name of the person who issued the notice], 30 days before the meeting, which needed 30 days of notice (STSMA s6(2)). The notice was sufficient. As the meeting took a special or unanimous resolution, the notice had to reach each member by hand or by registered post (STSMA s6(3)). It was recorded in time for 3 of 3 members. The meeting was appointed for 27 October 2026 at 18:00.</w:t>
      </w:r>
    </w:p>
    <w:p>
      <w:pPr>
        <w:pStyle w:val="Item"/>
      </w:pPr>
      <w:r>
        <w:t xml:space="preserve">3. </w:t>
      </w:r>
      <w:r>
        <w:tab/>
      </w:r>
      <w:r>
        <w:rPr>
          <w:b/>
        </w:rPr>
        <w:t xml:space="preserve">Attendance and proxies. </w:t>
      </w:r>
      <w:r>
        <w:t xml:space="preserve">3 of the scheme's 3 members were present or represented when the meeting ended: 1 in person, 1 electronically and 1 by proxy. 0 left before the end. Members who attended electronically counted once the chair had confirmed their identity (PMR 17(10) and (11)).</w:t>
      </w:r>
    </w:p>
    <w:p>
      <w:pPr>
        <w:pStyle w:val="ItemText"/>
      </w:pPr>
      <w:r>
        <w:t xml:space="preserve">Also present, representing no member: [Name of a person present who represents no member], [Capacity, such as the managing agent].</w:t>
      </w:r>
    </w:p>
    <w:tbl>
      <w:tblPr>
        <w:tblW w:w="9071" w:type="dxa"/>
        <w:tblInd w:w="567" w:type="dxa"/>
        <w:tblBorders>
          <w:top w:val="nil"/>
          <w:left w:val="nil"/>
          <w:bottom w:val="single" w:color="DBDFE6" w:sz="4"/>
          <w:right w:val="nil"/>
          <w:insideH w:val="single" w:color="DBDFE6" w:sz="4"/>
          <w:insideV w:val="nil"/>
        </w:tblBorders>
      </w:tblPr>
      <w:tblGrid>
        <w:gridCol w:w="2358"/>
        <w:gridCol w:w="1269"/>
        <w:gridCol w:w="1995"/>
        <w:gridCol w:w="1995"/>
        <w:gridCol w:w="1451"/>
      </w:tblGrid>
      <w:tr>
        <w:trPr>
          <w:tblHeader/>
        </w:trPr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Member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Units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Attended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Attended by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Proxy</w:t>
            </w:r>
          </w:p>
        </w:tc>
      </w:tr>
      <w:tr>
        <w:tc>
          <w:p>
            <w:pPr>
              <w:pStyle w:val="TableText"/>
            </w:pPr>
            <w:r>
              <w:t xml:space="preserve">[Owner's name]</w:t>
            </w:r>
          </w:p>
        </w:tc>
        <w:tc>
          <w:p>
            <w:pPr>
              <w:pStyle w:val="TableText"/>
            </w:pPr>
            <w:r>
              <w:t xml:space="preserve">[Unit number]</w:t>
            </w:r>
          </w:p>
        </w:tc>
        <w:tc>
          <w:p>
            <w:pPr>
              <w:pStyle w:val="TableText"/>
            </w:pPr>
            <w:r>
              <w:t xml:space="preserve">In person</w:t>
            </w:r>
          </w:p>
        </w:tc>
        <w:tc>
          <w:p>
            <w:pPr>
              <w:pStyle w:val="TableText"/>
            </w:pPr>
            <w:r>
              <w:t xml:space="preserve">[Owner's name]</w:t>
            </w:r>
          </w:p>
        </w:tc>
        <w:tc>
          <w:p>
            <w:pPr>
              <w:pStyle w:val="TableText"/>
            </w:pPr>
            <w:r>
              <w:t xml:space="preserve"/>
            </w:r>
          </w:p>
        </w:tc>
      </w:tr>
      <w:tr>
        <w:tc>
          <w:p>
            <w:pPr>
              <w:pStyle w:val="TableText"/>
            </w:pPr>
            <w:r>
              <w:t xml:space="preserve">[Owner's name]</w:t>
            </w:r>
          </w:p>
        </w:tc>
        <w:tc>
          <w:p>
            <w:pPr>
              <w:pStyle w:val="TableText"/>
            </w:pPr>
            <w:r>
              <w:t xml:space="preserve">[Unit number]</w:t>
            </w:r>
          </w:p>
        </w:tc>
        <w:tc>
          <w:p>
            <w:pPr>
              <w:pStyle w:val="TableText"/>
            </w:pPr>
            <w:r>
              <w:t xml:space="preserve">Electronically</w:t>
            </w:r>
          </w:p>
        </w:tc>
        <w:tc>
          <w:p>
            <w:pPr>
              <w:pStyle w:val="TableText"/>
            </w:pPr>
            <w:r>
              <w:t xml:space="preserve">[Owner's name]</w:t>
            </w:r>
          </w:p>
        </w:tc>
        <w:tc>
          <w:p>
            <w:pPr>
              <w:pStyle w:val="TableText"/>
            </w:pPr>
            <w:r>
              <w:t xml:space="preserve"/>
            </w:r>
          </w:p>
        </w:tc>
      </w:tr>
      <w:tr>
        <w:tc>
          <w:p>
            <w:pPr>
              <w:pStyle w:val="TableText"/>
            </w:pPr>
            <w:r>
              <w:t xml:space="preserve">[Owner's name]</w:t>
            </w:r>
          </w:p>
        </w:tc>
        <w:tc>
          <w:p>
            <w:pPr>
              <w:pStyle w:val="TableText"/>
            </w:pPr>
            <w:r>
              <w:t xml:space="preserve">[Unit number]</w:t>
            </w:r>
          </w:p>
        </w:tc>
        <w:tc>
          <w:p>
            <w:pPr>
              <w:pStyle w:val="TableText"/>
            </w:pPr>
            <w:r>
              <w:t xml:space="preserve">By proxy</w:t>
            </w:r>
          </w:p>
        </w:tc>
        <w:tc>
          <w:p>
            <w:pPr>
              <w:pStyle w:val="TableText"/>
            </w:pPr>
            <w:r>
              <w:t xml:space="preserve">[Proxy holder's name]</w:t>
            </w:r>
          </w:p>
        </w:tc>
        <w:tc>
          <w:p>
            <w:pPr>
              <w:pStyle w:val="TableText"/>
            </w:pPr>
            <w:r>
              <w:t xml:space="preserve">Lodged before the meeting (PMR 20(5)(a)), with a general mandate</w:t>
            </w:r>
          </w:p>
        </w:tc>
      </w:tr>
    </w:tbl>
    <w:p>
      <w:pPr>
        <w:pStyle w:val="Item"/>
      </w:pPr>
      <w:r>
        <w:t xml:space="preserve">4. </w:t>
      </w:r>
      <w:r>
        <w:tab/>
      </w:r>
      <w:r>
        <w:rPr>
          <w:b/>
        </w:rPr>
        <w:t xml:space="preserve">Quorum. </w:t>
      </w:r>
      <w:r>
        <w:t xml:space="preserve">The quorum in force was 1/3 of all the members' votes in value (2/3 in a scheme with fewer than 4 sections or members) present or represented, with at least 2 persons present (PMR 19). When the meeting ended, 3 of 3 members were present or represented, holding 100,00 % of the votes in value, and a quorum was present. Each resolution below records whether a quorum was present when its poll closed.</w:t>
      </w:r>
    </w:p>
    <w:p>
      <w:pPr>
        <w:pStyle w:val="Item"/>
      </w:pPr>
      <w:r>
        <w:t xml:space="preserve">5. </w:t>
      </w:r>
      <w:r>
        <w:tab/>
      </w:r>
      <w:r>
        <w:rPr>
          <w:b/>
        </w:rPr>
        <w:t xml:space="preserve">Resolutions. </w:t>
      </w:r>
      <w:r>
        <w:t xml:space="preserve">The resolutions on the agenda, in the agenda's order.</w:t>
      </w:r>
    </w:p>
    <w:p>
      <w:pPr>
        <w:pStyle w:val="ResolutionHeading"/>
      </w:pPr>
      <w:r>
        <w:t xml:space="preserve">1. [Title of the first resolution]</w:t>
      </w:r>
    </w:p>
    <w:p>
      <w:pPr>
        <w:pStyle w:val="ItemText"/>
      </w:pPr>
      <w:r>
        <w:t xml:space="preserve">Ordinary resolution. Proposed by [Proposer's name], seconded by [Seconder's name].</w:t>
      </w:r>
    </w:p>
    <w:p>
      <w:pPr>
        <w:pStyle w:val="Resolved"/>
      </w:pPr>
      <w:r>
        <w:t xml:space="preserve">[Text of the resolution as it was put to the meeting]</w:t>
      </w:r>
    </w:p>
    <w:tbl>
      <w:tblPr>
        <w:tblW w:w="9071" w:type="dxa"/>
        <w:tblInd w:w="567" w:type="dxa"/>
        <w:tblBorders>
          <w:top w:val="nil"/>
          <w:left w:val="nil"/>
          <w:bottom w:val="single" w:color="DBDFE6" w:sz="4"/>
          <w:right w:val="nil"/>
          <w:insideH w:val="single" w:color="DBDFE6" w:sz="4"/>
          <w:insideV w:val="nil"/>
        </w:tblBorders>
      </w:tblPr>
      <w:tblGrid>
        <w:gridCol w:w="1179"/>
        <w:gridCol w:w="1360"/>
        <w:gridCol w:w="1269"/>
        <w:gridCol w:w="1360"/>
        <w:gridCol w:w="1269"/>
        <w:gridCol w:w="1269"/>
        <w:gridCol w:w="1360"/>
      </w:tblGrid>
      <w:tr>
        <w:trPr>
          <w:tblHeader/>
        </w:trPr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Vote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In value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votes cast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those present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In number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votes cast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those present</w:t>
            </w:r>
          </w:p>
        </w:tc>
      </w:tr>
      <w:tr>
        <w:tc>
          <w:p>
            <w:pPr>
              <w:pStyle w:val="TableText"/>
            </w:pPr>
            <w:r>
              <w:t xml:space="preserve">For</w:t>
            </w:r>
          </w:p>
        </w:tc>
        <w:tc>
          <w:p>
            <w:pPr>
              <w:pStyle w:val="TableText"/>
            </w:pPr>
            <w:r>
              <w:t xml:space="preserve">100,0000 %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3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</w:tr>
      <w:tr>
        <w:tc>
          <w:p>
            <w:pPr>
              <w:pStyle w:val="TableText"/>
            </w:pPr>
            <w:r>
              <w:t xml:space="preserve">Against</w:t>
            </w:r>
          </w:p>
        </w:tc>
        <w:tc>
          <w:p>
            <w:pPr>
              <w:pStyle w:val="TableText"/>
            </w:pPr>
            <w:r>
              <w:t xml:space="preserve">0,0000 %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</w:tr>
      <w:tr>
        <w:tc>
          <w:p>
            <w:pPr>
              <w:pStyle w:val="TableText"/>
            </w:pPr>
            <w:r>
              <w:t xml:space="preserve">Abstain</w:t>
            </w:r>
          </w:p>
        </w:tc>
        <w:tc>
          <w:p>
            <w:pPr>
              <w:pStyle w:val="TableText"/>
            </w:pPr>
            <w:r>
              <w:t xml:space="preserve">0,0000 %</w:t>
            </w:r>
          </w:p>
        </w:tc>
        <w:tc>
          <w:p>
            <w:pPr>
              <w:pStyle w:val="TableText"/>
            </w:pPr>
            <w:r>
              <w:t xml:space="preserve">-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</w:t>
            </w:r>
          </w:p>
        </w:tc>
        <w:tc>
          <w:p>
            <w:pPr>
              <w:pStyle w:val="TableText"/>
            </w:pPr>
            <w:r>
              <w:t xml:space="preserve">-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</w:tr>
    </w:tbl>
    <w:p>
      <w:pPr>
        <w:pStyle w:val="ItemText"/>
      </w:pPr>
      <w:r>
        <w:t xml:space="preserve">Votes cast for and against: 100,0000 % in value and 3 in number. Present or represented: 100,0000 % in value (100,00 % of all the members' votes) and 3 of 3 members in number.</w:t>
      </w:r>
    </w:p>
    <w:p>
      <w:pPr>
        <w:pStyle w:val="ItemText"/>
      </w:pPr>
      <w:r>
        <w:t xml:space="preserve">Rule: A majority of the votes, calculated in value, of the members present and voting (PMR 20(1)(b)).</w:t>
      </w:r>
    </w:p>
    <w:p>
      <w:pPr>
        <w:pStyle w:val="ItemText"/>
      </w:pPr>
      <w:r>
        <w:rPr>
          <w:b/>
        </w:rPr>
        <w:t xml:space="preserve">Outcome: Passed. </w:t>
      </w:r>
      <w:r>
        <w:t xml:space="preserve">The votes for are a majority, in value, of the votes cast for and against.</w:t>
      </w:r>
    </w:p>
    <w:p>
      <w:pPr>
        <w:pStyle w:val="ItemText"/>
      </w:pPr>
      <w:r>
        <w:t xml:space="preserve">A quorum was present when the chair closed the poll at 19:30.</w:t>
      </w:r>
    </w:p>
    <w:p>
      <w:pPr>
        <w:pStyle w:val="ResolutionHeading"/>
      </w:pPr>
      <w:r>
        <w:t xml:space="preserve">2. [Title of the second resolution]</w:t>
      </w:r>
    </w:p>
    <w:p>
      <w:pPr>
        <w:pStyle w:val="ItemText"/>
      </w:pPr>
      <w:r>
        <w:t xml:space="preserve">Special resolution. Proposed by [Proposer's name], seconded by [Seconder's name].</w:t>
      </w:r>
    </w:p>
    <w:p>
      <w:pPr>
        <w:pStyle w:val="Resolved"/>
      </w:pPr>
      <w:r>
        <w:t xml:space="preserve">[Text of the resolution as it was put to the meeting]</w:t>
      </w:r>
    </w:p>
    <w:tbl>
      <w:tblPr>
        <w:tblW w:w="9071" w:type="dxa"/>
        <w:tblInd w:w="567" w:type="dxa"/>
        <w:tblBorders>
          <w:top w:val="nil"/>
          <w:left w:val="nil"/>
          <w:bottom w:val="single" w:color="DBDFE6" w:sz="4"/>
          <w:right w:val="nil"/>
          <w:insideH w:val="single" w:color="DBDFE6" w:sz="4"/>
          <w:insideV w:val="nil"/>
        </w:tblBorders>
      </w:tblPr>
      <w:tblGrid>
        <w:gridCol w:w="1179"/>
        <w:gridCol w:w="1360"/>
        <w:gridCol w:w="1269"/>
        <w:gridCol w:w="1360"/>
        <w:gridCol w:w="1269"/>
        <w:gridCol w:w="1269"/>
        <w:gridCol w:w="1360"/>
      </w:tblGrid>
      <w:tr>
        <w:trPr>
          <w:tblHeader/>
        </w:trPr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Vote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In value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votes cast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those present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In number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votes cast</w:t>
            </w:r>
          </w:p>
        </w:tc>
        <w:tc>
          <w:tcPr>
            <w:tcBorders>
              <w:bottom w:val="single" w:color="212631" w:sz="6"/>
            </w:tcBorders>
          </w:tcPr>
          <w:p>
            <w:pPr>
              <w:pStyle w:val="TableText"/>
            </w:pPr>
            <w:r>
              <w:rPr>
                <w:b/>
              </w:rPr>
              <w:t xml:space="preserve">Of those present</w:t>
            </w:r>
          </w:p>
        </w:tc>
      </w:tr>
      <w:tr>
        <w:tc>
          <w:p>
            <w:pPr>
              <w:pStyle w:val="TableText"/>
            </w:pPr>
            <w:r>
              <w:t xml:space="preserve">For</w:t>
            </w:r>
          </w:p>
        </w:tc>
        <w:tc>
          <w:p>
            <w:pPr>
              <w:pStyle w:val="TableText"/>
            </w:pPr>
            <w:r>
              <w:t xml:space="preserve">100,0000 %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3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  <w:tc>
          <w:p>
            <w:pPr>
              <w:pStyle w:val="TableText"/>
            </w:pPr>
            <w:r>
              <w:t xml:space="preserve">100,00 %</w:t>
            </w:r>
          </w:p>
        </w:tc>
      </w:tr>
      <w:tr>
        <w:tc>
          <w:p>
            <w:pPr>
              <w:pStyle w:val="TableText"/>
            </w:pPr>
            <w:r>
              <w:t xml:space="preserve">Against</w:t>
            </w:r>
          </w:p>
        </w:tc>
        <w:tc>
          <w:p>
            <w:pPr>
              <w:pStyle w:val="TableText"/>
            </w:pPr>
            <w:r>
              <w:t xml:space="preserve">0,0000 %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</w:tr>
      <w:tr>
        <w:tc>
          <w:p>
            <w:pPr>
              <w:pStyle w:val="TableText"/>
            </w:pPr>
            <w:r>
              <w:t xml:space="preserve">Abstain</w:t>
            </w:r>
          </w:p>
        </w:tc>
        <w:tc>
          <w:p>
            <w:pPr>
              <w:pStyle w:val="TableText"/>
            </w:pPr>
            <w:r>
              <w:t xml:space="preserve">0,0000 %</w:t>
            </w:r>
          </w:p>
        </w:tc>
        <w:tc>
          <w:p>
            <w:pPr>
              <w:pStyle w:val="TableText"/>
            </w:pPr>
            <w:r>
              <w:t xml:space="preserve">-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  <w:tc>
          <w:p>
            <w:pPr>
              <w:pStyle w:val="TableText"/>
            </w:pPr>
            <w:r>
              <w:t xml:space="preserve">0</w:t>
            </w:r>
          </w:p>
        </w:tc>
        <w:tc>
          <w:p>
            <w:pPr>
              <w:pStyle w:val="TableText"/>
            </w:pPr>
            <w:r>
              <w:t xml:space="preserve">-</w:t>
            </w:r>
          </w:p>
        </w:tc>
        <w:tc>
          <w:p>
            <w:pPr>
              <w:pStyle w:val="TableText"/>
            </w:pPr>
            <w:r>
              <w:t xml:space="preserve">0,00 %</w:t>
            </w:r>
          </w:p>
        </w:tc>
      </w:tr>
    </w:tbl>
    <w:p>
      <w:pPr>
        <w:pStyle w:val="ItemText"/>
      </w:pPr>
      <w:r>
        <w:t xml:space="preserve">Votes cast for and against: 100,0000 % in value and 3 in number. Present or represented: 100,0000 % in value (100,00 % of all the members' votes) and 3 of 3 members in number.</w:t>
      </w:r>
    </w:p>
    <w:p>
      <w:pPr>
        <w:pStyle w:val="ItemText"/>
      </w:pPr>
      <w:r>
        <w:t xml:space="preserve">Rule: At least 75 %, calculated both in value and in number, of the votes of the members present or represented (STSMA s1, special resolution).</w:t>
      </w:r>
    </w:p>
    <w:p>
      <w:pPr>
        <w:pStyle w:val="ItemText"/>
      </w:pPr>
      <w:r>
        <w:rPr>
          <w:b/>
        </w:rPr>
        <w:t xml:space="preserve">Outcome: Passed. </w:t>
      </w:r>
      <w:r>
        <w:t xml:space="preserve">At least 75 % of the votes present or represented were in favour, in value and in number.</w:t>
      </w:r>
    </w:p>
    <w:p>
      <w:pPr>
        <w:pStyle w:val="ItemText"/>
      </w:pPr>
      <w:r>
        <w:t xml:space="preserve">A quorum was present when the chair closed the poll at 19:30.</w:t>
      </w:r>
    </w:p>
    <w:p>
      <w:pPr>
        <w:pStyle w:val="ResolutionHeading"/>
      </w:pPr>
      <w:r>
        <w:t xml:space="preserve">3. [Title of an item for discussion]</w:t>
      </w:r>
    </w:p>
    <w:p>
      <w:pPr>
        <w:pStyle w:val="ItemText"/>
      </w:pPr>
      <w:r>
        <w:t xml:space="preserve">[What the item is about]</w:t>
      </w:r>
    </w:p>
    <w:p>
      <w:pPr>
        <w:pStyle w:val="ItemText"/>
      </w:pPr>
      <w:r>
        <w:t xml:space="preserve">Business for discussion, on which no vote was taken.</w:t>
      </w:r>
    </w:p>
    <w:p>
      <w:pPr>
        <w:pStyle w:val="Item"/>
      </w:pPr>
      <w:r>
        <w:t xml:space="preserve">6. </w:t>
      </w:r>
      <w:r>
        <w:tab/>
      </w:r>
      <w:r>
        <w:rPr>
          <w:b/>
        </w:rPr>
        <w:t xml:space="preserve">Motions from the floor. </w:t>
      </w:r>
      <w:r>
        <w:t xml:space="preserve">The motions raised at the meeting that the agenda did not hold, as the meeting decided them outside Estate Manager's polls.</w:t>
      </w:r>
    </w:p>
    <w:p>
      <w:pPr>
        <w:pStyle w:val="ItemText"/>
      </w:pPr>
      <w:r>
        <w:t xml:space="preserve">Moved by [Mover's name], seconded by [Seconder's name].</w:t>
      </w:r>
    </w:p>
    <w:p>
      <w:pPr>
        <w:pStyle w:val="Resolved"/>
      </w:pPr>
      <w:r>
        <w:t xml:space="preserve">[Text of a motion raised from the floor]</w:t>
      </w:r>
    </w:p>
    <w:p>
      <w:pPr>
        <w:pStyle w:val="ItemText"/>
      </w:pPr>
      <w:r>
        <w:t xml:space="preserve">Outcome: [carried or not carried]. [How the meeting decided it].</w:t>
      </w:r>
    </w:p>
    <w:p>
      <w:pPr>
        <w:pStyle w:val="Item"/>
      </w:pPr>
      <w:r>
        <w:t xml:space="preserve">7. </w:t>
      </w:r>
      <w:r>
        <w:tab/>
      </w:r>
      <w:r>
        <w:rPr>
          <w:b/>
        </w:rPr>
        <w:t xml:space="preserve">Closure. </w:t>
      </w:r>
      <w:r>
        <w:t xml:space="preserve">There being no further business, the chair closed the meeting at 19:30.</w:t>
      </w:r>
    </w:p>
    <w:p>
      <w:pPr>
        <w:pStyle w:val="Signature"/>
      </w:pPr>
      <w:r>
        <w:t xml:space="preserve">Signed as a true record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172"/>
        <w:gridCol w:w="725"/>
        <w:gridCol w:w="4172"/>
      </w:tblGrid>
      <w:tr>
        <w:tc>
          <w:tcPr>
            <w:tcBorders>
              <w:top w:val="single" w:color="212631" w:sz="4"/>
              <w:left w:val="nil"/>
              <w:bottom w:val="nil"/>
              <w:right w:val="nil"/>
            </w:tcBorders>
          </w:tcPr>
          <w:p>
            <w:pPr>
              <w:pStyle w:val="SignatureCaption"/>
            </w:pPr>
            <w:r>
              <w:t xml:space="preserve">Chairperson: [Name of the chairperson]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Borders>
              <w:top w:val="single" w:color="212631" w:sz="4"/>
              <w:left w:val="nil"/>
              <w:bottom w:val="nil"/>
              <w:right w:val="nil"/>
            </w:tcBorders>
          </w:tcPr>
          <w:p>
            <w:pPr>
              <w:pStyle w:val="SignatureCaption"/>
            </w:pPr>
            <w:r>
              <w:t xml:space="preserve">Date</w:t>
            </w:r>
          </w:p>
        </w:tc>
      </w:tr>
    </w:tbl>
    <w:sectPr>
      <w:footerReference xmlns:r="http://schemas.openxmlformats.org/officeDocument/2006/relationships" w:type="default" r:id="R0fa8eba42465467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Drafted by Estate Manager on 27 October 2026 at 02:04. The minutes record each result, never how a member voted.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 xml:space="preserve"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color w:val="252B36"/>
        <w:sz w:val="22"/>
        <w:lang w:val="en-ZA"/>
      </w:rPr>
    </w:rPrDefault>
    <w:pPrDefault>
      <w:pPr>
        <w:spacing w:after="120" w:line="264" w:lineRule="auto"/>
      </w:pPr>
    </w:pPrDefault>
  </w:docDefaults>
  <w:style w:type="paragraph" w:styleId="Normal" w:default="true">
    <w:name w:val="Normal"/>
  </w:style>
  <w:style w:type="paragraph" w:styleId="SchemeLine">
    <w:name w:val="Scheme line"/>
    <w:basedOn w:val="Normal"/>
    <w:next w:val="Normal"/>
    <w:qFormat/>
    <w:pPr>
      <w:spacing w:after="60"/>
    </w:pPr>
    <w:rPr>
      <w:caps/>
      <w:color w:val="4F5D73"/>
      <w:spacing w:val="30"/>
      <w:sz w:val="19"/>
    </w:rPr>
  </w:style>
  <w:style w:type="paragraph" w:styleId="Title">
    <w:name w:val="Title"/>
    <w:basedOn w:val="Normal"/>
    <w:next w:val="Normal"/>
    <w:qFormat/>
    <w:pPr>
      <w:spacing w:after="80"/>
    </w:pPr>
    <w:rPr>
      <w:b/>
      <w:color w:val="212631"/>
      <w:sz w:val="38"/>
    </w:rPr>
  </w:style>
  <w:style w:type="paragraph" w:styleId="HeldOn">
    <w:name w:val="Held on"/>
    <w:basedOn w:val="Normal"/>
    <w:next w:val="Normal"/>
    <w:qFormat/>
    <w:pPr>
      <w:spacing w:after="60"/>
    </w:pPr>
    <w:rPr>
      <w:sz w:val="22"/>
    </w:rPr>
  </w:style>
  <w:style w:type="paragraph" w:styleId="Draft">
    <w:name w:val="Draft note"/>
    <w:basedOn w:val="Normal"/>
    <w:next w:val="Normal"/>
    <w:qFormat/>
    <w:pPr>
      <w:pBdr>
        <w:bottom w:val="single" w:color="212631" w:sz="6" w:space="10"/>
      </w:pBdr>
      <w:spacing w:after="280"/>
    </w:pPr>
    <w:rPr>
      <w:i/>
      <w:color w:val="6B7785"/>
      <w:sz w:val="19"/>
    </w:rPr>
  </w:style>
  <w:style w:type="paragraph" w:styleId="Item">
    <w:name w:val="Minute item"/>
    <w:basedOn w:val="Normal"/>
    <w:next w:val="Normal"/>
    <w:qFormat/>
    <w:pPr>
      <w:keepNext/>
      <w:tabs>
        <w:tab w:val="left" w:pos="567"/>
      </w:tabs>
      <w:spacing w:before="120" w:after="120"/>
      <w:ind w:left="567" w:hanging="567"/>
    </w:pPr>
  </w:style>
  <w:style w:type="paragraph" w:styleId="ItemText">
    <w:name w:val="Minute item text"/>
    <w:basedOn w:val="Normal"/>
    <w:next w:val="Normal"/>
    <w:qFormat/>
    <w:pPr>
      <w:spacing w:after="120"/>
      <w:ind w:left="567"/>
    </w:pPr>
  </w:style>
  <w:style w:type="paragraph" w:styleId="ResolutionHeading">
    <w:name w:val="Resolution heading"/>
    <w:basedOn w:val="Normal"/>
    <w:next w:val="Normal"/>
    <w:qFormat/>
    <w:pPr>
      <w:keepNext/>
      <w:spacing w:before="160" w:after="80"/>
      <w:ind w:left="567"/>
    </w:pPr>
    <w:rPr>
      <w:b/>
      <w:color w:val="212631"/>
    </w:rPr>
  </w:style>
  <w:style w:type="paragraph" w:styleId="Resolved">
    <w:name w:val="Resolved text"/>
    <w:basedOn w:val="Normal"/>
    <w:next w:val="Normal"/>
    <w:qFormat/>
    <w:pPr>
      <w:spacing w:after="120"/>
      <w:ind w:left="927" w:right="567"/>
    </w:pPr>
    <w:rPr>
      <w:i/>
    </w:rPr>
  </w:style>
  <w:style w:type="paragraph" w:styleId="TableText">
    <w:name w:val="Table text"/>
    <w:basedOn w:val="Normal"/>
    <w:next w:val="Normal"/>
    <w:qFormat/>
    <w:pPr>
      <w:spacing w:before="50" w:after="50" w:line="240" w:lineRule="auto"/>
    </w:pPr>
    <w:rPr>
      <w:sz w:val="19"/>
    </w:rPr>
  </w:style>
  <w:style w:type="paragraph" w:styleId="Signature">
    <w:name w:val="Signature heading"/>
    <w:basedOn w:val="Normal"/>
    <w:next w:val="Normal"/>
    <w:qFormat/>
    <w:pPr>
      <w:keepNext/>
      <w:spacing w:before="480" w:after="600"/>
    </w:pPr>
    <w:rPr>
      <w:b/>
      <w:color w:val="212631"/>
    </w:rPr>
  </w:style>
  <w:style w:type="paragraph" w:styleId="SignatureCaption">
    <w:name w:val="Signature caption"/>
    <w:basedOn w:val="Normal"/>
    <w:next w:val="Normal"/>
    <w:qFormat/>
    <w:pPr>
      <w:spacing w:before="60" w:after="0"/>
    </w:pPr>
    <w:rPr>
      <w:color w:val="4F5D73"/>
      <w:sz w:val="19"/>
    </w:rPr>
  </w:style>
  <w:style w:type="paragraph" w:styleId="Footer">
    <w:name w:val="footer"/>
    <w:basedOn w:val="Normal"/>
    <w:next w:val="Normal"/>
    <w:qFormat/>
    <w:pPr>
      <w:pBdr>
        <w:top w:val="single" w:color="DBDFE6" w:sz="4" w:space="6"/>
      </w:pBdr>
      <w:tabs>
        <w:tab w:val="right" w:pos="9638"/>
      </w:tabs>
      <w:spacing w:after="0" w:line="240" w:lineRule="auto"/>
    </w:pPr>
    <w:rPr>
      <w:rFonts w:ascii="Calibri" w:hAnsi="Calibri" w:cs="Calibri"/>
      <w:color w:val="6B7785"/>
      <w:sz w:val="17"/>
    </w:rPr>
  </w:style>
  <w:style w:type="table" w:styleId="TableNormal" w:default="true">
    <w:name w:val="Normal Table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e90de1494b4c2a" /><Relationship Type="http://schemas.openxmlformats.org/officeDocument/2006/relationships/footer" Target="/word/footer1.xml" Id="R0fa8eba424654674" /></Relationships>
</file>